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назначении ответственных за охрану труда по подразделениям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целях создания единой системы организации работ по охране труда в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 — Общество)</w:t>
      </w:r>
      <w:r>
        <w:rPr>
          <w:rFonts w:hAnsi="Times New Roman" w:cs="Times New Roman"/>
          <w:color w:val="000000"/>
          <w:sz w:val="24"/>
          <w:szCs w:val="24"/>
        </w:rPr>
        <w:t>, повышения ответственности руководителей структурных подразделений за сохранение жизни и здоровья сотрудников, обеспечения работникам безопасных условий труда, предупреждения производственного травматизма и в соответствии с 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24.12.2021 № 2464 «О порядке обучения по охране труда и проверки знания требований охраны труда»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 Р И К А З Ы В А Ю: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Назначить лицом, ответственным за организацию работ по охране труда и за состояние охраны труда в Обществе, </w:t>
      </w:r>
      <w:r>
        <w:rPr>
          <w:rFonts w:hAnsi="Times New Roman" w:cs="Times New Roman"/>
          <w:color w:val="000000"/>
          <w:sz w:val="24"/>
          <w:szCs w:val="24"/>
        </w:rPr>
        <w:t xml:space="preserve">главного инженера </w:t>
      </w:r>
      <w:r>
        <w:rPr>
          <w:rFonts w:hAnsi="Times New Roman" w:cs="Times New Roman"/>
          <w:color w:val="000000"/>
          <w:sz w:val="24"/>
          <w:szCs w:val="24"/>
        </w:rPr>
        <w:t>Петрова А.С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Назначить лицом, ответственным за обеспечение контроля за соблюдением требований охраны труда и осуществление контроля за выполнением мероприятий по охране труда, </w:t>
      </w:r>
      <w:r>
        <w:rPr>
          <w:rFonts w:hAnsi="Times New Roman" w:cs="Times New Roman"/>
          <w:color w:val="000000"/>
          <w:sz w:val="24"/>
          <w:szCs w:val="24"/>
        </w:rPr>
        <w:t>специалиста по охране труда Иванова А.А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Назначить ответственными за организацию работ по охране труда в структурных подразделениях (группах) руководителей групп согласно штатному расписанию.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исполнительная дирекция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Комаров А.А.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 №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Кутузов К.А.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 №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целях поддержания безопасных условий труда ответственным должностным лицам руководствоваться </w:t>
      </w:r>
      <w:r>
        <w:rPr>
          <w:rFonts w:hAnsi="Times New Roman" w:cs="Times New Roman"/>
          <w:color w:val="000000"/>
          <w:sz w:val="24"/>
          <w:szCs w:val="24"/>
        </w:rPr>
        <w:t>Трудовым кодексом</w:t>
      </w:r>
      <w:r>
        <w:rPr>
          <w:rFonts w:hAnsi="Times New Roman" w:cs="Times New Roman"/>
          <w:color w:val="000000"/>
          <w:sz w:val="24"/>
          <w:szCs w:val="24"/>
        </w:rPr>
        <w:t>, нормативными правовыми актами, содержащими государственные нормативные требования охраны труда по специфике работы своих структурных подразделений, положением об организации работы по охране труда в Обществе.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должностных лиц, ответственных за организацию работ по охране труда в структурных подразделениях (группах), в пределах порученных им участков работ и должностных инструкций возложить: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постоянное выявление опасностей и оценку профрисков, снижение их уровней;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недопущение работ на рабочих местах с 4-м классом 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ежедневную проверку перед началом работы состояния рабочих мест, в том числе исправности оборудования и оргтехники, с информированием о нарушениях, которые не могут быть устранены собственными силами, соответствующих служб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допуск к работе подчиненных сотрудников после полного устранения недостатков;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контроля за соблюдением подчиненными мер безопасности, определенных в инструкциях по охране труда и других локальных нормативных документах по охране труда, разработанных в Обществе;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видео-, аудиозаписи процессов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инструктажа по охране труда на рабочем месте (первичного, повторного) согласно программе инструктажа не реже одного раза в шесть месяцев и внепланового, целевого — при необходимости;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журнала инструктажа на рабочем месте;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 подчиненных сотрудников к выполнению своих должностных обязанностей после проведения инструктажа;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представление подчиненных для проверки знаний требований охраны труда комиссии Общества;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 работе комиссии по проверке знаний требований охраны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соблюдения сотрудниками трудовой дисциплины и Правил трудового распорядка, относящихся к охране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в отдельных случаях (по приказу руководителя организации) обязанностей лица, ответственного за обеспечение охраны труда, на отдельном участке работ, в том числе в командировке;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(уточнение) инструкций по охране труда по профессиям и видам работ, выполняемых подчиненными;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информирование руководителя Общества и специалиста по охране труда о несчастных случаях с подчиненными работниками;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участие в расследовании микротравм; 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предупреждение доступа на рабочие места подчиненных сотрудников при их неудовлетворительном состоянии здоровья, в том числе в состоянии алкогольного (наркотического) опьянения.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На время отсутствия вышеопределенных должностных лиц (отпуск, командировка, болезнь) обязанности по охране труда возлагаются на замещающих сотрудников, прошедших обучение охране труда и проверку знаний требований охраны труда в 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Контроль за исполнением приказа возложить на специалиста по охране труда.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С.В.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Петров А.С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А.А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Комаров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Комаров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цеха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Кутузов К.А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Кутузов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цеха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300d6aa96894f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